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48"/>
          <w:szCs w:val="48"/>
          <w:rtl w:val="0"/>
        </w:rPr>
        <w:t xml:space="preserve">Los ganadores de los juicios podrán deducirse en el IRPF las costas procesales</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Madrid, 21 de enero de 2021.</w:t>
      </w:r>
      <w:r w:rsidDel="00000000" w:rsidR="00000000" w:rsidRPr="00000000">
        <w:rPr>
          <w:rtl w:val="0"/>
        </w:rPr>
        <w:t xml:space="preserve"> Importante cambio de rumbo de la Dirección General de Tributos en relación a la tributación de las costas procesales en el IRPF. H</w:t>
      </w:r>
      <w:r w:rsidDel="00000000" w:rsidR="00000000" w:rsidRPr="00000000">
        <w:rPr>
          <w:rtl w:val="0"/>
        </w:rPr>
        <w:t xml:space="preserve">asta ahora, Hacienda consideraba las costas como una ganancia patrimonial del cliente, sin tener en cuenta que o bien al encargar el asunto a abogado y procurador o bien cuando se terminaba el proceso judicial, pagaba los honorarios a ambos -abogado y procurador- que le habían defendido y representado en el juicio. El resultado era que tenía que tributar por unas cantidades que en realidad no había recibido porque se habían satisfecho (en cantidad coincidente con esas costas o en otra pactada, con reserva de liquidación) a los profesionales, que a su vez también tributan por ellas como ingresos por su trabajo.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Ahora, explica </w:t>
      </w:r>
      <w:hyperlink r:id="rId6">
        <w:r w:rsidDel="00000000" w:rsidR="00000000" w:rsidRPr="00000000">
          <w:rPr>
            <w:b w:val="1"/>
            <w:color w:val="009999"/>
            <w:u w:val="single"/>
            <w:rtl w:val="0"/>
          </w:rPr>
          <w:t xml:space="preserve">reclamador.es</w:t>
        </w:r>
      </w:hyperlink>
      <w:r w:rsidDel="00000000" w:rsidR="00000000" w:rsidRPr="00000000">
        <w:rPr>
          <w:rtl w:val="0"/>
        </w:rPr>
        <w:t xml:space="preserve">, con esta resolución de la Dirección General de Tributos que se acaba de conocer, ya no sucede esto y </w:t>
      </w:r>
      <w:r w:rsidDel="00000000" w:rsidR="00000000" w:rsidRPr="00000000">
        <w:rPr>
          <w:b w:val="1"/>
          <w:rtl w:val="0"/>
        </w:rPr>
        <w:t xml:space="preserve">únicamente el contribuyente estará obligado a tributar por la parte</w:t>
      </w:r>
      <w:r w:rsidDel="00000000" w:rsidR="00000000" w:rsidRPr="00000000">
        <w:rPr>
          <w:rtl w:val="0"/>
        </w:rPr>
        <w:t xml:space="preserve"> -si la hubiera porque se pactaron menores honorarios- </w:t>
      </w:r>
      <w:r w:rsidDel="00000000" w:rsidR="00000000" w:rsidRPr="00000000">
        <w:rPr>
          <w:b w:val="1"/>
          <w:rtl w:val="0"/>
        </w:rPr>
        <w:t xml:space="preserve">que no haya pagado a estos profesionales y que efectivamente le hubiera sido entregada</w:t>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i w:val="1"/>
        </w:rPr>
      </w:pPr>
      <w:r w:rsidDel="00000000" w:rsidR="00000000" w:rsidRPr="00000000">
        <w:rPr>
          <w:rtl w:val="0"/>
        </w:rPr>
        <w:t xml:space="preserve">En otras palabras, Almudena Velázquez, co-directora legal de reclamador.es </w:t>
      </w:r>
      <w:r w:rsidDel="00000000" w:rsidR="00000000" w:rsidRPr="00000000">
        <w:rPr>
          <w:i w:val="1"/>
          <w:rtl w:val="0"/>
        </w:rPr>
        <w:t xml:space="preserve">“hasta ahora cuando una persona recibía una sentencia favorable en la que además la parte contraria debía abonar las costas procesales, quien obtenía esa sentencia favorable con el correspondiente pago de costas por la parte contraria, dichas costas debían ser declaradas como ganancia patrimonial, si bien tal cantidad es destinada al pago de abogado y procurador. Ahora, de esas costas percibidas, se podrá deducir en el IRPF aquella cuantía de los gastos ocasionados por el juicio, siendo el límite máximo de esa deducción la cantidad recibida por este concepto”. </w:t>
      </w:r>
    </w:p>
    <w:p w:rsidR="00000000" w:rsidDel="00000000" w:rsidP="00000000" w:rsidRDefault="00000000" w:rsidRPr="00000000" w14:paraId="00000009">
      <w:pPr>
        <w:jc w:val="both"/>
        <w:rPr>
          <w:i w:val="1"/>
        </w:rPr>
      </w:pPr>
      <w:r w:rsidDel="00000000" w:rsidR="00000000" w:rsidRPr="00000000">
        <w:rPr>
          <w:rtl w:val="0"/>
        </w:rPr>
      </w:r>
    </w:p>
    <w:p w:rsidR="00000000" w:rsidDel="00000000" w:rsidP="00000000" w:rsidRDefault="00000000" w:rsidRPr="00000000" w14:paraId="0000000A">
      <w:pPr>
        <w:jc w:val="both"/>
        <w:rPr>
          <w:i w:val="1"/>
        </w:rPr>
      </w:pPr>
      <w:r w:rsidDel="00000000" w:rsidR="00000000" w:rsidRPr="00000000">
        <w:rPr>
          <w:rtl w:val="0"/>
        </w:rPr>
        <w:t xml:space="preserve">En definitiva, termina señalando la directiva de reclamador.es </w:t>
      </w:r>
      <w:r w:rsidDel="00000000" w:rsidR="00000000" w:rsidRPr="00000000">
        <w:rPr>
          <w:i w:val="1"/>
          <w:rtl w:val="0"/>
        </w:rPr>
        <w:t xml:space="preserve">“una decisión que parece  lógica que así se hiciera pero que, hasta ahora, incomprensiblemente no era así y a la que se ha visto obligada por la resolución en el pasado mes de junio de 2020 dictada por el Tribunal Económico Central que ya tuvo que revocar el criterio de la AEAT aplicando el sentido común: no puede declararse como ganancia patrimonial lo que nunca se ha incorporado de manera real al patrimonio del contribuyente que, además de verse obligado a defender sus derechos en un juicio, resulta que por ganarlo ha de tributar unas costas que satisface en pago de los honorarios a los profesionales que le han defendido”.</w:t>
      </w:r>
    </w:p>
    <w:p w:rsidR="00000000" w:rsidDel="00000000" w:rsidP="00000000" w:rsidRDefault="00000000" w:rsidRPr="00000000" w14:paraId="0000000B">
      <w:pPr>
        <w:jc w:val="both"/>
        <w:rPr>
          <w:i w:val="1"/>
          <w:sz w:val="23"/>
          <w:szCs w:val="23"/>
        </w:rPr>
      </w:pPr>
      <w:r w:rsidDel="00000000" w:rsidR="00000000" w:rsidRPr="00000000">
        <w:rPr>
          <w:rtl w:val="0"/>
        </w:rPr>
      </w:r>
    </w:p>
    <w:p w:rsidR="00000000" w:rsidDel="00000000" w:rsidP="00000000" w:rsidRDefault="00000000" w:rsidRPr="00000000" w14:paraId="0000000C">
      <w:pPr>
        <w:jc w:val="both"/>
        <w:rPr>
          <w:i w:val="1"/>
          <w:sz w:val="23"/>
          <w:szCs w:val="23"/>
        </w:rPr>
      </w:pPr>
      <w:r w:rsidDel="00000000" w:rsidR="00000000" w:rsidRPr="00000000">
        <w:rPr>
          <w:rtl w:val="0"/>
        </w:rPr>
      </w:r>
    </w:p>
    <w:p w:rsidR="00000000" w:rsidDel="00000000" w:rsidP="00000000" w:rsidRDefault="00000000" w:rsidRPr="00000000" w14:paraId="0000000D">
      <w:pPr>
        <w:jc w:val="both"/>
        <w:rPr>
          <w:i w:val="1"/>
          <w:sz w:val="23"/>
          <w:szCs w:val="23"/>
        </w:rPr>
      </w:pPr>
      <w:r w:rsidDel="00000000" w:rsidR="00000000" w:rsidRPr="00000000">
        <w:rPr>
          <w:rtl w:val="0"/>
        </w:rPr>
      </w:r>
    </w:p>
    <w:p w:rsidR="00000000" w:rsidDel="00000000" w:rsidP="00000000" w:rsidRDefault="00000000" w:rsidRPr="00000000" w14:paraId="0000000E">
      <w:pPr>
        <w:jc w:val="both"/>
        <w:rPr>
          <w:i w:val="1"/>
          <w:sz w:val="23"/>
          <w:szCs w:val="23"/>
        </w:rPr>
      </w:pPr>
      <w:r w:rsidDel="00000000" w:rsidR="00000000" w:rsidRPr="00000000">
        <w:rPr>
          <w:rtl w:val="0"/>
        </w:rPr>
      </w:r>
    </w:p>
    <w:p w:rsidR="00000000" w:rsidDel="00000000" w:rsidP="00000000" w:rsidRDefault="00000000" w:rsidRPr="00000000" w14:paraId="0000000F">
      <w:pPr>
        <w:jc w:val="both"/>
        <w:rPr>
          <w:i w:val="1"/>
          <w:sz w:val="23"/>
          <w:szCs w:val="23"/>
        </w:rPr>
      </w:pPr>
      <w:r w:rsidDel="00000000" w:rsidR="00000000" w:rsidRPr="00000000">
        <w:rPr>
          <w:rtl w:val="0"/>
        </w:rPr>
      </w:r>
    </w:p>
    <w:p w:rsidR="00000000" w:rsidDel="00000000" w:rsidP="00000000" w:rsidRDefault="00000000" w:rsidRPr="00000000" w14:paraId="00000010">
      <w:pPr>
        <w:jc w:val="both"/>
        <w:rPr>
          <w:i w:val="1"/>
          <w:sz w:val="23"/>
          <w:szCs w:val="23"/>
        </w:rPr>
      </w:pPr>
      <w:r w:rsidDel="00000000" w:rsidR="00000000" w:rsidRPr="00000000">
        <w:rPr>
          <w:rtl w:val="0"/>
        </w:rPr>
      </w:r>
    </w:p>
    <w:p w:rsidR="00000000" w:rsidDel="00000000" w:rsidP="00000000" w:rsidRDefault="00000000" w:rsidRPr="00000000" w14:paraId="00000011">
      <w:pPr>
        <w:shd w:fill="ffffff" w:val="clear"/>
        <w:spacing w:after="240" w:before="240" w:lineRule="auto"/>
        <w:jc w:val="right"/>
        <w:rPr>
          <w:b w:val="1"/>
          <w:i w:val="1"/>
          <w:color w:val="009999"/>
          <w:sz w:val="18"/>
          <w:szCs w:val="18"/>
        </w:rPr>
      </w:pPr>
      <w:r w:rsidDel="00000000" w:rsidR="00000000" w:rsidRPr="00000000">
        <w:rPr>
          <w:b w:val="1"/>
          <w:i w:val="1"/>
          <w:color w:val="009999"/>
          <w:sz w:val="18"/>
          <w:szCs w:val="18"/>
          <w:rtl w:val="0"/>
        </w:rPr>
        <w:t xml:space="preserve">Sobre reclamador.es</w:t>
      </w:r>
    </w:p>
    <w:p w:rsidR="00000000" w:rsidDel="00000000" w:rsidP="00000000" w:rsidRDefault="00000000" w:rsidRPr="00000000" w14:paraId="00000012">
      <w:pPr>
        <w:shd w:fill="ffffff" w:val="clear"/>
        <w:spacing w:after="240" w:before="240" w:lineRule="auto"/>
        <w:jc w:val="both"/>
        <w:rPr>
          <w:i w:val="1"/>
          <w:color w:val="7f7f7f"/>
          <w:sz w:val="18"/>
          <w:szCs w:val="18"/>
        </w:rPr>
      </w:pPr>
      <w:r w:rsidDel="00000000" w:rsidR="00000000" w:rsidRPr="00000000">
        <w:rPr>
          <w:i w:val="1"/>
          <w:color w:val="7f7f7f"/>
          <w:sz w:val="18"/>
          <w:szCs w:val="18"/>
          <w:rtl w:val="0"/>
        </w:rPr>
        <w:t xml:space="preserve">reclamador.es es una plataforma online de servicios legales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w:t>
      </w:r>
      <w:hyperlink r:id="rId7">
        <w:r w:rsidDel="00000000" w:rsidR="00000000" w:rsidRPr="00000000">
          <w:rPr>
            <w:i w:val="1"/>
            <w:color w:val="7f7f7f"/>
            <w:sz w:val="18"/>
            <w:szCs w:val="18"/>
            <w:u w:val="single"/>
            <w:rtl w:val="0"/>
          </w:rPr>
          <w:t xml:space="preserve"> APRA (Association of Passenger Rights Advocates)</w:t>
        </w:r>
      </w:hyperlink>
      <w:r w:rsidDel="00000000" w:rsidR="00000000" w:rsidRPr="00000000">
        <w:rPr>
          <w:i w:val="1"/>
          <w:color w:val="7f7f7f"/>
          <w:sz w:val="18"/>
          <w:szCs w:val="18"/>
          <w:rtl w:val="0"/>
        </w:rPr>
        <w:t xml:space="preserve"> y de la sección española de</w:t>
      </w:r>
      <w:hyperlink r:id="rId8">
        <w:r w:rsidDel="00000000" w:rsidR="00000000" w:rsidRPr="00000000">
          <w:rPr>
            <w:i w:val="1"/>
            <w:color w:val="7f7f7f"/>
            <w:sz w:val="18"/>
            <w:szCs w:val="18"/>
            <w:u w:val="single"/>
            <w:rtl w:val="0"/>
          </w:rPr>
          <w:t xml:space="preserve"> ELTA</w:t>
        </w:r>
      </w:hyperlink>
      <w:r w:rsidDel="00000000" w:rsidR="00000000" w:rsidRPr="00000000">
        <w:rPr>
          <w:i w:val="1"/>
          <w:color w:val="7f7f7f"/>
          <w:sz w:val="18"/>
          <w:szCs w:val="18"/>
          <w:rtl w:val="0"/>
        </w:rPr>
        <w:t xml:space="preserve"> (Asociación Europea de LegalTech)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del diario Financial Times y Statista. Durante los años 2018 y 2019, reclamador.es se ha posicionado como marca líder en España en reputación digital en el sector legal según el ranking de Law &amp; Trends.</w:t>
      </w:r>
    </w:p>
    <w:p w:rsidR="00000000" w:rsidDel="00000000" w:rsidP="00000000" w:rsidRDefault="00000000" w:rsidRPr="00000000" w14:paraId="00000013">
      <w:pPr>
        <w:shd w:fill="ffffff" w:val="clear"/>
        <w:spacing w:after="240" w:before="240" w:lineRule="auto"/>
        <w:jc w:val="both"/>
        <w:rPr>
          <w:i w:val="1"/>
          <w:color w:val="7f7f7f"/>
          <w:sz w:val="18"/>
          <w:szCs w:val="18"/>
        </w:rPr>
      </w:pPr>
      <w:r w:rsidDel="00000000" w:rsidR="00000000" w:rsidRPr="00000000">
        <w:rPr>
          <w:i w:val="1"/>
          <w:color w:val="7f7f7f"/>
          <w:sz w:val="18"/>
          <w:szCs w:val="18"/>
          <w:rtl w:val="0"/>
        </w:rPr>
        <w:t xml:space="preserve">Con 80.000 casos resueltos y 40 millones de euros de indemnizaciones conseguidos hasta el momento, trabaja con una tasa de éxito del 98% y bajo un modelo No Win, No Fee, es decir, solo cobra si gana. La plataforma ofrece todos sus servicios online y ha gestionado ya más de 250.000 reclamaciones con 200 millones de euros reclamados. reclamador.es ha conseguido que se eleven tres cuestiones prejudiciales al Tribunal Europeo de Justicia Europea (TJUE), pendientes de resolución, para proteger los derechos de los consumidores.</w:t>
      </w:r>
    </w:p>
    <w:p w:rsidR="00000000" w:rsidDel="00000000" w:rsidP="00000000" w:rsidRDefault="00000000" w:rsidRPr="00000000" w14:paraId="00000014">
      <w:pPr>
        <w:shd w:fill="ffffff" w:val="clear"/>
        <w:spacing w:after="240" w:before="240" w:lineRule="auto"/>
        <w:jc w:val="both"/>
        <w:rPr>
          <w:b w:val="1"/>
          <w:i w:val="1"/>
          <w:color w:val="009999"/>
          <w:sz w:val="18"/>
          <w:szCs w:val="18"/>
        </w:rPr>
      </w:pPr>
      <w:r w:rsidDel="00000000" w:rsidR="00000000" w:rsidRPr="00000000">
        <w:rPr>
          <w:i w:val="1"/>
          <w:color w:val="7f7f7f"/>
          <w:sz w:val="18"/>
          <w:szCs w:val="18"/>
          <w:rtl w:val="0"/>
        </w:rPr>
        <w:t xml:space="preserve">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 En 7 años, Pablo Rabanal, que fue incluido en el Ranking de jóvenes ejecutivos Choiseul 100-2017 España (Economic Leaders for Tomorrow), dirige un equipo de 100 profesionales integrado por desarrolladores y abogados en toda España.</w:t>
      </w:r>
      <w:r w:rsidDel="00000000" w:rsidR="00000000" w:rsidRPr="00000000">
        <w:rPr>
          <w:b w:val="1"/>
          <w:i w:val="1"/>
          <w:color w:val="009999"/>
          <w:sz w:val="18"/>
          <w:szCs w:val="18"/>
          <w:rtl w:val="0"/>
        </w:rPr>
        <w:t xml:space="preserve">  </w:t>
      </w:r>
    </w:p>
    <w:p w:rsidR="00000000" w:rsidDel="00000000" w:rsidP="00000000" w:rsidRDefault="00000000" w:rsidRPr="00000000" w14:paraId="00000015">
      <w:pPr>
        <w:shd w:fill="ffffff" w:val="clear"/>
        <w:spacing w:after="240" w:before="240" w:lineRule="auto"/>
        <w:jc w:val="right"/>
        <w:rPr>
          <w:b w:val="1"/>
          <w:i w:val="1"/>
          <w:color w:val="009999"/>
          <w:sz w:val="18"/>
          <w:szCs w:val="18"/>
        </w:rPr>
      </w:pPr>
      <w:r w:rsidDel="00000000" w:rsidR="00000000" w:rsidRPr="00000000">
        <w:rPr>
          <w:b w:val="1"/>
          <w:i w:val="1"/>
          <w:color w:val="009999"/>
          <w:sz w:val="18"/>
          <w:szCs w:val="18"/>
          <w:rtl w:val="0"/>
        </w:rPr>
        <w:t xml:space="preserve"> </w:t>
      </w:r>
    </w:p>
    <w:p w:rsidR="00000000" w:rsidDel="00000000" w:rsidP="00000000" w:rsidRDefault="00000000" w:rsidRPr="00000000" w14:paraId="00000016">
      <w:pPr>
        <w:shd w:fill="ffffff" w:val="clear"/>
        <w:spacing w:after="240" w:before="240" w:lineRule="auto"/>
        <w:jc w:val="right"/>
        <w:rPr>
          <w:b w:val="1"/>
          <w:i w:val="1"/>
          <w:color w:val="009999"/>
          <w:sz w:val="18"/>
          <w:szCs w:val="18"/>
        </w:rPr>
      </w:pPr>
      <w:r w:rsidDel="00000000" w:rsidR="00000000" w:rsidRPr="00000000">
        <w:rPr>
          <w:b w:val="1"/>
          <w:i w:val="1"/>
          <w:color w:val="009999"/>
          <w:sz w:val="18"/>
          <w:szCs w:val="18"/>
          <w:rtl w:val="0"/>
        </w:rPr>
        <w:t xml:space="preserve">Para más información:</w:t>
      </w:r>
    </w:p>
    <w:p w:rsidR="00000000" w:rsidDel="00000000" w:rsidP="00000000" w:rsidRDefault="00000000" w:rsidRPr="00000000" w14:paraId="00000017">
      <w:pPr>
        <w:shd w:fill="ffffff" w:val="clear"/>
        <w:spacing w:after="240" w:before="240" w:lineRule="auto"/>
        <w:jc w:val="right"/>
        <w:rPr>
          <w:b w:val="1"/>
          <w:i w:val="1"/>
          <w:color w:val="7f7f7f"/>
          <w:sz w:val="18"/>
          <w:szCs w:val="18"/>
        </w:rPr>
      </w:pPr>
      <w:r w:rsidDel="00000000" w:rsidR="00000000" w:rsidRPr="00000000">
        <w:rPr>
          <w:b w:val="1"/>
          <w:i w:val="1"/>
          <w:color w:val="7f7f7f"/>
          <w:sz w:val="18"/>
          <w:szCs w:val="18"/>
          <w:rtl w:val="0"/>
        </w:rPr>
        <w:t xml:space="preserve">Cristina Naveda / Alicia Riaño</w:t>
      </w:r>
    </w:p>
    <w:p w:rsidR="00000000" w:rsidDel="00000000" w:rsidP="00000000" w:rsidRDefault="00000000" w:rsidRPr="00000000" w14:paraId="00000018">
      <w:pPr>
        <w:shd w:fill="ffffff" w:val="clear"/>
        <w:spacing w:after="240" w:before="240" w:lineRule="auto"/>
        <w:jc w:val="right"/>
        <w:rPr>
          <w:b w:val="1"/>
          <w:i w:val="1"/>
          <w:color w:val="009999"/>
          <w:sz w:val="18"/>
          <w:szCs w:val="18"/>
        </w:rPr>
      </w:pPr>
      <w:r w:rsidDel="00000000" w:rsidR="00000000" w:rsidRPr="00000000">
        <w:rPr>
          <w:b w:val="1"/>
          <w:i w:val="1"/>
          <w:color w:val="009999"/>
          <w:sz w:val="18"/>
          <w:szCs w:val="18"/>
          <w:rtl w:val="0"/>
        </w:rPr>
        <w:t xml:space="preserve">comunicacion@reclamador.es</w:t>
      </w:r>
    </w:p>
    <w:p w:rsidR="00000000" w:rsidDel="00000000" w:rsidP="00000000" w:rsidRDefault="00000000" w:rsidRPr="00000000" w14:paraId="00000019">
      <w:pPr>
        <w:shd w:fill="ffffff" w:val="clear"/>
        <w:spacing w:after="240" w:before="240" w:lineRule="auto"/>
        <w:jc w:val="right"/>
        <w:rPr>
          <w:b w:val="1"/>
          <w:i w:val="1"/>
          <w:color w:val="1155cc"/>
          <w:sz w:val="18"/>
          <w:szCs w:val="18"/>
          <w:u w:val="single"/>
        </w:rPr>
      </w:pPr>
      <w:hyperlink r:id="rId9">
        <w:r w:rsidDel="00000000" w:rsidR="00000000" w:rsidRPr="00000000">
          <w:rPr>
            <w:b w:val="1"/>
            <w:i w:val="1"/>
            <w:color w:val="1155cc"/>
            <w:sz w:val="18"/>
            <w:szCs w:val="18"/>
            <w:u w:val="single"/>
            <w:rtl w:val="0"/>
          </w:rPr>
          <w:t xml:space="preserve">https://www.reclamador.es/prensa/</w:t>
        </w:r>
      </w:hyperlink>
      <w:r w:rsidDel="00000000" w:rsidR="00000000" w:rsidRPr="00000000">
        <w:rPr>
          <w:rtl w:val="0"/>
        </w:rPr>
      </w:r>
    </w:p>
    <w:p w:rsidR="00000000" w:rsidDel="00000000" w:rsidP="00000000" w:rsidRDefault="00000000" w:rsidRPr="00000000" w14:paraId="0000001A">
      <w:pPr>
        <w:spacing w:after="240" w:before="240" w:lineRule="auto"/>
        <w:jc w:val="right"/>
        <w:rPr>
          <w:b w:val="1"/>
          <w:i w:val="1"/>
          <w:color w:val="7f7f7f"/>
          <w:sz w:val="18"/>
          <w:szCs w:val="18"/>
        </w:rPr>
      </w:pPr>
      <w:r w:rsidDel="00000000" w:rsidR="00000000" w:rsidRPr="00000000">
        <w:rPr>
          <w:b w:val="1"/>
          <w:i w:val="1"/>
          <w:color w:val="7f7f7f"/>
          <w:sz w:val="18"/>
          <w:szCs w:val="18"/>
          <w:rtl w:val="0"/>
        </w:rPr>
        <w:t xml:space="preserve">633 120 224</w:t>
      </w:r>
      <w:r w:rsidDel="00000000" w:rsidR="00000000" w:rsidRPr="00000000">
        <w:rPr>
          <w:i w:val="1"/>
          <w:color w:val="7f7f7f"/>
          <w:sz w:val="23"/>
          <w:szCs w:val="23"/>
          <w:rtl w:val="0"/>
        </w:rPr>
        <w:t xml:space="preserve"> </w:t>
      </w:r>
      <w:r w:rsidDel="00000000" w:rsidR="00000000" w:rsidRPr="00000000">
        <w:rPr>
          <w:b w:val="1"/>
          <w:i w:val="1"/>
          <w:color w:val="7f7f7f"/>
          <w:sz w:val="18"/>
          <w:szCs w:val="18"/>
          <w:rtl w:val="0"/>
        </w:rPr>
        <w:t xml:space="preserve">/ 635 87 35 74 </w:t>
      </w:r>
    </w:p>
    <w:p w:rsidR="00000000" w:rsidDel="00000000" w:rsidP="00000000" w:rsidRDefault="00000000" w:rsidRPr="00000000" w14:paraId="0000001B">
      <w:pPr>
        <w:jc w:val="right"/>
        <w:rPr>
          <w:i w:val="1"/>
          <w:sz w:val="23"/>
          <w:szCs w:val="23"/>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3297075" cy="3944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7075" cy="394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reclamador.es/prensa/" TargetMode="External"/><Relationship Id="rId5" Type="http://schemas.openxmlformats.org/officeDocument/2006/relationships/styles" Target="styles.xml"/><Relationship Id="rId6" Type="http://schemas.openxmlformats.org/officeDocument/2006/relationships/hyperlink" Target="https://www.reclamador.es/" TargetMode="External"/><Relationship Id="rId7" Type="http://schemas.openxmlformats.org/officeDocument/2006/relationships/hyperlink" Target="http://www.passengerrightsadvocates.eu/" TargetMode="External"/><Relationship Id="rId8" Type="http://schemas.openxmlformats.org/officeDocument/2006/relationships/hyperlink" Target="https://europe-legal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